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4BA9CA7">
      <w:pPr>
        <w:shd w:val="clear" w:color="auto" w:fill="FFFFFF"/>
        <w:spacing w:line="241" w:lineRule="exact"/>
        <w:ind w:left="394"/>
        <w:jc w:val="center"/>
        <w:rPr>
          <w:color w:val="000000"/>
        </w:rPr>
      </w:pPr>
    </w:p>
    <w:p w14:paraId="460BFABC">
      <w:pPr>
        <w:shd w:val="clear" w:color="auto" w:fill="FFFFFF"/>
        <w:rPr>
          <w:b/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>Specyfikacja ZESPO</w:t>
      </w:r>
      <w:r>
        <w:rPr>
          <w:rFonts w:cs="Times New Roman"/>
          <w:b/>
          <w:color w:val="000000"/>
          <w:sz w:val="22"/>
          <w:szCs w:val="22"/>
        </w:rPr>
        <w:t>ŁU</w:t>
      </w:r>
      <w:r>
        <w:rPr>
          <w:b/>
          <w:color w:val="000000"/>
          <w:sz w:val="22"/>
          <w:szCs w:val="22"/>
        </w:rPr>
        <w:t xml:space="preserve"> PR</w:t>
      </w:r>
      <w:r>
        <w:rPr>
          <w:rFonts w:cs="Times New Roman"/>
          <w:b/>
          <w:color w:val="000000"/>
          <w:sz w:val="22"/>
          <w:szCs w:val="22"/>
        </w:rPr>
        <w:t>Ą</w:t>
      </w:r>
      <w:r>
        <w:rPr>
          <w:b/>
          <w:color w:val="000000"/>
          <w:sz w:val="22"/>
          <w:szCs w:val="22"/>
        </w:rPr>
        <w:t>DOTW</w:t>
      </w:r>
      <w:r>
        <w:rPr>
          <w:rFonts w:cs="Times New Roman"/>
          <w:b/>
          <w:color w:val="000000"/>
          <w:sz w:val="22"/>
          <w:szCs w:val="22"/>
        </w:rPr>
        <w:t>Ó</w:t>
      </w:r>
      <w:r>
        <w:rPr>
          <w:b/>
          <w:color w:val="000000"/>
          <w:sz w:val="22"/>
          <w:szCs w:val="22"/>
        </w:rPr>
        <w:t xml:space="preserve">RCZEGO </w:t>
      </w:r>
    </w:p>
    <w:p w14:paraId="549ED570">
      <w:pPr>
        <w:shd w:val="clear" w:color="auto" w:fill="FFFFFF"/>
        <w:rPr>
          <w:b/>
          <w:color w:val="000000"/>
          <w:sz w:val="22"/>
          <w:szCs w:val="22"/>
        </w:rPr>
      </w:pPr>
    </w:p>
    <w:p w14:paraId="021F17CC">
      <w:pPr>
        <w:spacing w:line="360" w:lineRule="auto"/>
        <w:ind w:firstLine="720"/>
        <w:jc w:val="both"/>
        <w:rPr>
          <w:rFonts w:ascii="Tahoma" w:hAnsi="Tahoma" w:cs="Tahoma"/>
          <w:bCs/>
        </w:rPr>
      </w:pPr>
      <w:r>
        <w:rPr>
          <w:rFonts w:ascii="Tahoma" w:hAnsi="Tahoma" w:cs="Tahoma"/>
          <w:bCs/>
        </w:rPr>
        <w:t>Agregat prądotwórczy wersja otwarta umieszczony w kontenerze 40HC.</w:t>
      </w:r>
    </w:p>
    <w:p w14:paraId="7DE09917">
      <w:pPr>
        <w:pStyle w:val="12"/>
        <w:widowControl/>
        <w:numPr>
          <w:ilvl w:val="0"/>
          <w:numId w:val="1"/>
        </w:numPr>
        <w:autoSpaceDE/>
        <w:autoSpaceDN/>
        <w:adjustRightInd/>
        <w:spacing w:line="360" w:lineRule="auto"/>
        <w:jc w:val="both"/>
        <w:rPr>
          <w:rFonts w:ascii="Tahoma" w:hAnsi="Tahoma" w:cs="Tahoma"/>
          <w:bCs/>
        </w:rPr>
      </w:pPr>
      <w:r>
        <w:rPr>
          <w:rFonts w:ascii="Tahoma" w:hAnsi="Tahoma" w:cs="Tahoma"/>
          <w:bCs/>
        </w:rPr>
        <w:t>Moc znamionowa PRP 1000 kVA / 800 kW (zgodnie z ISO8528),</w:t>
      </w:r>
    </w:p>
    <w:p w14:paraId="2C5DF91A">
      <w:pPr>
        <w:pStyle w:val="12"/>
        <w:widowControl/>
        <w:numPr>
          <w:ilvl w:val="0"/>
          <w:numId w:val="1"/>
        </w:numPr>
        <w:autoSpaceDE/>
        <w:autoSpaceDN/>
        <w:adjustRightInd/>
        <w:spacing w:line="360" w:lineRule="auto"/>
        <w:jc w:val="both"/>
        <w:rPr>
          <w:rFonts w:ascii="Tahoma" w:hAnsi="Tahoma" w:cs="Tahoma"/>
          <w:bCs/>
        </w:rPr>
      </w:pPr>
      <w:r>
        <w:rPr>
          <w:rFonts w:ascii="Tahoma" w:hAnsi="Tahoma" w:cs="Tahoma"/>
          <w:bCs/>
        </w:rPr>
        <w:t>Moc maksymalna ESP 1100 kVA / 880 kW (zgodnie z ISO8528),</w:t>
      </w:r>
    </w:p>
    <w:p w14:paraId="36EF2848">
      <w:pPr>
        <w:pStyle w:val="12"/>
        <w:widowControl/>
        <w:numPr>
          <w:ilvl w:val="0"/>
          <w:numId w:val="1"/>
        </w:numPr>
        <w:autoSpaceDE/>
        <w:autoSpaceDN/>
        <w:adjustRightInd/>
        <w:jc w:val="both"/>
        <w:rPr>
          <w:rFonts w:ascii="Tahoma" w:hAnsi="Tahoma" w:cs="Tahoma"/>
        </w:rPr>
      </w:pPr>
      <w:r>
        <w:rPr>
          <w:rFonts w:ascii="Tahoma" w:hAnsi="Tahoma" w:cs="Tahoma"/>
        </w:rPr>
        <w:t>silnik wysokoprężny</w:t>
      </w:r>
      <w:r>
        <w:rPr>
          <w:rFonts w:ascii="Tahoma" w:hAnsi="Tahoma" w:cs="Tahoma"/>
          <w:b/>
          <w:bCs/>
        </w:rPr>
        <w:t xml:space="preserve"> </w:t>
      </w:r>
      <w:r>
        <w:rPr>
          <w:rFonts w:ascii="Tahoma" w:hAnsi="Tahoma" w:cs="Tahoma"/>
        </w:rPr>
        <w:t>BAUDOUIN model 12M26G1100/5, moc PRP 859 kW / ESP 943 kW,</w:t>
      </w:r>
    </w:p>
    <w:p w14:paraId="59DC79AE">
      <w:pPr>
        <w:pStyle w:val="12"/>
        <w:widowControl/>
        <w:numPr>
          <w:ilvl w:val="0"/>
          <w:numId w:val="1"/>
        </w:numPr>
        <w:autoSpaceDE/>
        <w:autoSpaceDN/>
        <w:adjustRightInd/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prądnica STAMFORD model SL1D-E (synchroniczna, bezszczotkowa, samowzbudna, IP23, izolacja klasy H), dokładność regulacji napięcia </w:t>
      </w:r>
      <w:r>
        <w:t xml:space="preserve">± </w:t>
      </w:r>
      <w:r>
        <w:rPr>
          <w:rFonts w:ascii="Tahoma" w:hAnsi="Tahoma" w:cs="Tahoma"/>
        </w:rPr>
        <w:t>0,5%</w:t>
      </w:r>
    </w:p>
    <w:p w14:paraId="664D926B">
      <w:pPr>
        <w:pStyle w:val="12"/>
        <w:widowControl/>
        <w:numPr>
          <w:ilvl w:val="0"/>
          <w:numId w:val="1"/>
        </w:numPr>
        <w:autoSpaceDE/>
        <w:autoSpaceDN/>
        <w:adjustRightInd/>
        <w:jc w:val="both"/>
        <w:rPr>
          <w:rFonts w:ascii="Tahoma" w:hAnsi="Tahoma" w:cs="Tahoma"/>
        </w:rPr>
      </w:pPr>
      <w:r>
        <w:rPr>
          <w:rFonts w:ascii="Tahoma" w:hAnsi="Tahoma" w:cs="Tahoma"/>
        </w:rPr>
        <w:t>prądnica o mocy PRP 1050 kVA, ESP 1125 kVA,</w:t>
      </w:r>
    </w:p>
    <w:p w14:paraId="48F70895">
      <w:pPr>
        <w:pStyle w:val="12"/>
        <w:widowControl/>
        <w:numPr>
          <w:ilvl w:val="0"/>
          <w:numId w:val="1"/>
        </w:numPr>
        <w:autoSpaceDE/>
        <w:autoSpaceDN/>
        <w:adjustRightInd/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panel sterowniczy pracy agregatu ComAp AMF 25 + karta komunikacji Modbus RTU - mikroprocesorowy system automatycznego załączania i wyłączania oraz dozoru parametrów pracy, </w:t>
      </w:r>
    </w:p>
    <w:p w14:paraId="4BFF7AED">
      <w:pPr>
        <w:pStyle w:val="12"/>
        <w:widowControl/>
        <w:numPr>
          <w:ilvl w:val="0"/>
          <w:numId w:val="1"/>
        </w:numPr>
        <w:autoSpaceDE/>
        <w:autoSpaceDN/>
        <w:adjustRightInd/>
        <w:jc w:val="both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</w:rPr>
        <w:t>zbiornik paliwa o pojemności 400 litrów (rozchodowy) umiejscowiony w ramie agregatu oraz zewnętrzne zbiorniki magazynowe typu Roth 2x2000 litrów umożliwiające łącznie ponad 21,44 pracy agregatu przy 100% obciążeniu z jednego napełnienia zbiorników + układ detekcji wycieku,</w:t>
      </w:r>
      <w:bookmarkStart w:id="0" w:name="_Hlk219725330"/>
    </w:p>
    <w:p w14:paraId="73CA99F7">
      <w:pPr>
        <w:pStyle w:val="12"/>
        <w:widowControl/>
        <w:numPr>
          <w:ilvl w:val="0"/>
          <w:numId w:val="1"/>
        </w:numPr>
        <w:autoSpaceDE/>
        <w:autoSpaceDN/>
        <w:adjustRightInd/>
        <w:jc w:val="both"/>
        <w:rPr>
          <w:rFonts w:ascii="Tahoma" w:hAnsi="Tahoma" w:cs="Tahoma"/>
          <w:sz w:val="18"/>
          <w:szCs w:val="18"/>
        </w:rPr>
      </w:pPr>
      <w:bookmarkStart w:id="1" w:name="_GoBack"/>
      <w:bookmarkEnd w:id="1"/>
      <w:r>
        <w:rPr>
          <w:rFonts w:ascii="Tahoma" w:hAnsi="Tahoma" w:cs="Tahoma"/>
          <w:sz w:val="18"/>
          <w:szCs w:val="18"/>
        </w:rPr>
        <w:t>spalanie agregatu przy 100% obc. moc PRP wynosi 205,2 l/h</w:t>
      </w:r>
    </w:p>
    <w:p w14:paraId="3E818E4B">
      <w:pPr>
        <w:pStyle w:val="12"/>
        <w:widowControl/>
        <w:numPr>
          <w:ilvl w:val="0"/>
          <w:numId w:val="1"/>
        </w:numPr>
        <w:autoSpaceDE/>
        <w:autoSpaceDN/>
        <w:adjustRightInd/>
        <w:jc w:val="both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spalanie agregatu przy 75% obc. moc PRP wynosi 154 l/h</w:t>
      </w:r>
    </w:p>
    <w:bookmarkEnd w:id="0"/>
    <w:p w14:paraId="0B3CACF0">
      <w:pPr>
        <w:widowControl/>
        <w:numPr>
          <w:ilvl w:val="0"/>
          <w:numId w:val="1"/>
        </w:numPr>
        <w:autoSpaceDE/>
        <w:autoSpaceDN/>
        <w:adjustRightInd/>
        <w:jc w:val="both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color w:val="000000"/>
          <w:sz w:val="18"/>
          <w:szCs w:val="18"/>
        </w:rPr>
        <w:t>zbiornik z elektronicznym czujnikiem poziomu paliwa,</w:t>
      </w:r>
    </w:p>
    <w:p w14:paraId="31C336ED">
      <w:pPr>
        <w:widowControl/>
        <w:numPr>
          <w:ilvl w:val="0"/>
          <w:numId w:val="1"/>
        </w:numPr>
        <w:autoSpaceDE/>
        <w:autoSpaceDN/>
        <w:adjustRightInd/>
        <w:jc w:val="both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color w:val="000000"/>
          <w:sz w:val="18"/>
          <w:szCs w:val="18"/>
        </w:rPr>
        <w:t>pompa spuszczania oleju silnikowego,</w:t>
      </w:r>
    </w:p>
    <w:p w14:paraId="291EDD5E">
      <w:pPr>
        <w:widowControl/>
        <w:numPr>
          <w:ilvl w:val="0"/>
          <w:numId w:val="1"/>
        </w:numPr>
        <w:autoSpaceDE/>
        <w:autoSpaceDN/>
        <w:adjustRightInd/>
        <w:jc w:val="both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color w:val="000000"/>
          <w:sz w:val="18"/>
          <w:szCs w:val="18"/>
        </w:rPr>
        <w:t>filtr paliwa,</w:t>
      </w:r>
    </w:p>
    <w:p w14:paraId="201F2CA0">
      <w:pPr>
        <w:widowControl/>
        <w:numPr>
          <w:ilvl w:val="0"/>
          <w:numId w:val="1"/>
        </w:numPr>
        <w:pBdr>
          <w:right w:val="single" w:color="auto" w:sz="12" w:space="4"/>
        </w:pBdr>
        <w:autoSpaceDE/>
        <w:autoSpaceDN/>
        <w:adjustRightInd/>
        <w:jc w:val="both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 xml:space="preserve">elektroniczny regulator prędkości obrotowej silnika, </w:t>
      </w:r>
    </w:p>
    <w:p w14:paraId="66FFC8EB">
      <w:pPr>
        <w:widowControl/>
        <w:numPr>
          <w:ilvl w:val="0"/>
          <w:numId w:val="1"/>
        </w:numPr>
        <w:pBdr>
          <w:right w:val="single" w:color="auto" w:sz="12" w:space="4"/>
        </w:pBdr>
        <w:autoSpaceDE/>
        <w:autoSpaceDN/>
        <w:adjustRightInd/>
        <w:jc w:val="both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elektroniczny regulator napięcia AVR,</w:t>
      </w:r>
    </w:p>
    <w:p w14:paraId="7DCBD48E">
      <w:pPr>
        <w:widowControl/>
        <w:numPr>
          <w:ilvl w:val="0"/>
          <w:numId w:val="1"/>
        </w:numPr>
        <w:pBdr>
          <w:right w:val="single" w:color="auto" w:sz="12" w:space="4"/>
        </w:pBdr>
        <w:autoSpaceDE/>
        <w:autoSpaceDN/>
        <w:adjustRightInd/>
        <w:jc w:val="both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układ podgrzewania płynu chłodzącego,</w:t>
      </w:r>
    </w:p>
    <w:p w14:paraId="0FA64F17">
      <w:pPr>
        <w:widowControl/>
        <w:numPr>
          <w:ilvl w:val="0"/>
          <w:numId w:val="1"/>
        </w:numPr>
        <w:pBdr>
          <w:right w:val="single" w:color="auto" w:sz="12" w:space="4"/>
        </w:pBdr>
        <w:autoSpaceDE/>
        <w:autoSpaceDN/>
        <w:adjustRightInd/>
        <w:jc w:val="both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 xml:space="preserve">akumulatory rozruchowe wraz z układem ładowania, </w:t>
      </w:r>
    </w:p>
    <w:p w14:paraId="7A34D070">
      <w:pPr>
        <w:widowControl/>
        <w:numPr>
          <w:ilvl w:val="0"/>
          <w:numId w:val="1"/>
        </w:numPr>
        <w:pBdr>
          <w:right w:val="single" w:color="auto" w:sz="12" w:space="4"/>
        </w:pBdr>
        <w:autoSpaceDE/>
        <w:autoSpaceDN/>
        <w:adjustRightInd/>
        <w:jc w:val="both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amortyzatory antywibracyjne zainstalowane między ramą a układem silnik-prądnica,</w:t>
      </w:r>
    </w:p>
    <w:p w14:paraId="572D4389">
      <w:pPr>
        <w:widowControl/>
        <w:numPr>
          <w:ilvl w:val="0"/>
          <w:numId w:val="1"/>
        </w:numPr>
        <w:pBdr>
          <w:right w:val="single" w:color="auto" w:sz="12" w:space="4"/>
        </w:pBdr>
        <w:autoSpaceDE/>
        <w:autoSpaceDN/>
        <w:adjustRightInd/>
        <w:jc w:val="both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tłumiki wydechu spalin typu residential,</w:t>
      </w:r>
    </w:p>
    <w:p w14:paraId="7E84B981">
      <w:pPr>
        <w:widowControl/>
        <w:numPr>
          <w:ilvl w:val="0"/>
          <w:numId w:val="1"/>
        </w:numPr>
        <w:pBdr>
          <w:right w:val="single" w:color="auto" w:sz="12" w:space="4"/>
        </w:pBdr>
        <w:autoSpaceDE/>
        <w:autoSpaceDN/>
        <w:adjustRightInd/>
        <w:jc w:val="both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wyłącznik główny z zabezpieczeniem przeciwzwarciowym i przeciążeniowym generatora,</w:t>
      </w:r>
    </w:p>
    <w:p w14:paraId="44CD88CB">
      <w:pPr>
        <w:widowControl/>
        <w:numPr>
          <w:ilvl w:val="0"/>
          <w:numId w:val="1"/>
        </w:numPr>
        <w:autoSpaceDE/>
        <w:autoSpaceDN/>
        <w:adjustRightInd/>
        <w:jc w:val="both"/>
        <w:rPr>
          <w:rFonts w:ascii="Tahoma" w:hAnsi="Tahoma" w:cs="Tahoma"/>
          <w:color w:val="000000"/>
          <w:sz w:val="18"/>
          <w:szCs w:val="18"/>
        </w:rPr>
      </w:pPr>
      <w:r>
        <w:rPr>
          <w:rFonts w:ascii="Tahoma" w:hAnsi="Tahoma" w:cs="Tahoma"/>
          <w:color w:val="000000"/>
          <w:sz w:val="18"/>
          <w:szCs w:val="18"/>
        </w:rPr>
        <w:t xml:space="preserve">misa retencyjna na wyciek paliwa, </w:t>
      </w:r>
    </w:p>
    <w:p w14:paraId="1C05A233">
      <w:pPr>
        <w:widowControl/>
        <w:numPr>
          <w:ilvl w:val="0"/>
          <w:numId w:val="1"/>
        </w:numPr>
        <w:autoSpaceDE/>
        <w:autoSpaceDN/>
        <w:adjustRightInd/>
        <w:jc w:val="both"/>
        <w:rPr>
          <w:rFonts w:ascii="Tahoma" w:hAnsi="Tahoma" w:cs="Tahoma"/>
          <w:color w:val="000000"/>
          <w:sz w:val="18"/>
          <w:szCs w:val="18"/>
        </w:rPr>
      </w:pPr>
      <w:r>
        <w:rPr>
          <w:rFonts w:ascii="Tahoma" w:hAnsi="Tahoma" w:cs="Tahoma"/>
          <w:color w:val="000000"/>
          <w:sz w:val="18"/>
          <w:szCs w:val="18"/>
        </w:rPr>
        <w:t>Karta Ethernet, moduł GPRS 4G + antena</w:t>
      </w:r>
    </w:p>
    <w:p w14:paraId="1F2C38D3">
      <w:pPr>
        <w:widowControl/>
        <w:numPr>
          <w:ilvl w:val="0"/>
          <w:numId w:val="1"/>
        </w:numPr>
        <w:autoSpaceDE/>
        <w:autoSpaceDN/>
        <w:adjustRightInd/>
        <w:jc w:val="both"/>
        <w:rPr>
          <w:rFonts w:ascii="Tahoma" w:hAnsi="Tahoma" w:cs="Tahoma"/>
          <w:color w:val="000000"/>
          <w:sz w:val="18"/>
          <w:szCs w:val="18"/>
        </w:rPr>
      </w:pPr>
      <w:r>
        <w:rPr>
          <w:rFonts w:ascii="Tahoma" w:hAnsi="Tahoma" w:cs="Tahoma"/>
          <w:color w:val="000000"/>
          <w:sz w:val="18"/>
          <w:szCs w:val="18"/>
        </w:rPr>
        <w:t>RTU Modbud RS485/RS232.</w:t>
      </w:r>
    </w:p>
    <w:p w14:paraId="76256E85">
      <w:pPr>
        <w:shd w:val="clear" w:color="auto" w:fill="FFFFFF"/>
        <w:spacing w:line="168" w:lineRule="exact"/>
        <w:ind w:left="303" w:hanging="303"/>
      </w:pPr>
    </w:p>
    <w:p w14:paraId="0EBE4736">
      <w:pPr>
        <w:jc w:val="both"/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 xml:space="preserve">Zabudowa kontenerowa w standardzie: </w:t>
      </w:r>
    </w:p>
    <w:p w14:paraId="34BEA2D5">
      <w:pPr>
        <w:pStyle w:val="12"/>
        <w:widowControl/>
        <w:numPr>
          <w:ilvl w:val="0"/>
          <w:numId w:val="2"/>
        </w:numPr>
        <w:autoSpaceDE/>
        <w:autoSpaceDN/>
        <w:adjustRightInd/>
        <w:ind w:right="357"/>
        <w:rPr>
          <w:rFonts w:ascii="Tahoma" w:hAnsi="Tahoma" w:cs="Tahoma"/>
          <w:bCs/>
        </w:rPr>
      </w:pPr>
      <w:r>
        <w:rPr>
          <w:rFonts w:ascii="Tahoma" w:hAnsi="Tahoma" w:cs="Tahoma"/>
          <w:bCs/>
        </w:rPr>
        <w:t>Wyciszona zabudowa kontenerowa 40HC o wymiarach zewnętrznych</w:t>
      </w:r>
    </w:p>
    <w:p w14:paraId="10799269">
      <w:pPr>
        <w:pStyle w:val="12"/>
        <w:ind w:right="357"/>
        <w:rPr>
          <w:rFonts w:ascii="Tahoma" w:hAnsi="Tahoma" w:cs="Tahoma"/>
          <w:bCs/>
        </w:rPr>
      </w:pPr>
      <w:r>
        <w:rPr>
          <w:rFonts w:ascii="Tahoma" w:hAnsi="Tahoma" w:cs="Tahoma"/>
          <w:bCs/>
        </w:rPr>
        <w:t>[mm] dł. 12192 x szer. 2438 x wys. 2896</w:t>
      </w:r>
      <w:r>
        <w:rPr>
          <w:rFonts w:ascii="Tahoma" w:hAnsi="Tahoma" w:cs="Tahoma"/>
          <w:bCs/>
          <w:sz w:val="18"/>
          <w:szCs w:val="18"/>
        </w:rPr>
        <w:t>,</w:t>
      </w:r>
      <w:r>
        <w:rPr>
          <w:rFonts w:ascii="Tahoma" w:hAnsi="Tahoma" w:cs="Tahoma"/>
          <w:bCs/>
        </w:rPr>
        <w:t xml:space="preserve">  </w:t>
      </w:r>
    </w:p>
    <w:p w14:paraId="22F26F22">
      <w:pPr>
        <w:pStyle w:val="12"/>
        <w:widowControl/>
        <w:numPr>
          <w:ilvl w:val="0"/>
          <w:numId w:val="2"/>
        </w:numPr>
        <w:autoSpaceDE/>
        <w:autoSpaceDN/>
        <w:adjustRightInd/>
        <w:ind w:right="357"/>
        <w:rPr>
          <w:rFonts w:ascii="Tahoma" w:hAnsi="Tahoma" w:cs="Tahoma"/>
          <w:bCs/>
          <w:color w:val="C00000"/>
        </w:rPr>
      </w:pPr>
      <w:r>
        <w:rPr>
          <w:rFonts w:ascii="Tahoma" w:hAnsi="Tahoma" w:cs="Tahoma"/>
          <w:bCs/>
          <w:color w:val="C00000"/>
        </w:rPr>
        <w:t>Kolor RAL kontenera do uzgodnienia</w:t>
      </w:r>
    </w:p>
    <w:p w14:paraId="499E2C8A">
      <w:pPr>
        <w:pStyle w:val="12"/>
        <w:widowControl/>
        <w:numPr>
          <w:ilvl w:val="0"/>
          <w:numId w:val="2"/>
        </w:numPr>
        <w:autoSpaceDE/>
        <w:autoSpaceDN/>
        <w:adjustRightInd/>
        <w:ind w:right="357"/>
        <w:rPr>
          <w:rFonts w:ascii="Tahoma" w:hAnsi="Tahoma" w:cs="Tahoma"/>
          <w:bCs/>
        </w:rPr>
      </w:pPr>
      <w:r>
        <w:rPr>
          <w:rFonts w:ascii="Tahoma" w:hAnsi="Tahoma" w:cs="Tahoma"/>
          <w:bCs/>
        </w:rPr>
        <w:t xml:space="preserve">Podłoga antyposlizgowa wykończona aluminiową blachą ryflowaną. Wygłuszenie ścian za pomocą wełny mineralnej o grubości 100 mm, wykończone blachą perforowaną. Tłumiki hałasu na wyrzucie powietrza i na czerpni o ile jest miejsce.  Inna grubość wełny oraz wymiary tłumików hałasu, zależnie od wymaganego poziomu wyciszenia. Dwoje drzwi serwisowych wyciszonych wyposażonych w zamknięcia kontenerowe. Instalacja potrzeb własnych i oświetleniowa (2 lub 3 lampy), w tym jedna z podtrzymaniem awaryjnym, instalacja gniazd 230V (2 lub 3 sztuki), elektryczny grzejnik olejowy z termostatem. Gaśnica proszkowa. </w:t>
      </w:r>
    </w:p>
    <w:p w14:paraId="541F8505">
      <w:pPr>
        <w:pStyle w:val="12"/>
        <w:widowControl/>
        <w:autoSpaceDE/>
        <w:autoSpaceDN/>
        <w:adjustRightInd/>
        <w:ind w:right="357"/>
        <w:rPr>
          <w:rFonts w:ascii="Tahoma" w:hAnsi="Tahoma" w:cs="Tahoma"/>
          <w:bCs/>
        </w:rPr>
      </w:pPr>
      <w:r>
        <w:rPr>
          <w:rFonts w:ascii="Tahoma" w:hAnsi="Tahoma" w:cs="Tahoma"/>
          <w:bCs/>
        </w:rPr>
        <w:t>Jeden wyłącznik bezpieczeństwa/awaryjny stop.   Przepust kablowy w podłodze lub ścianie bocznej.</w:t>
      </w:r>
    </w:p>
    <w:p w14:paraId="583EF751">
      <w:pPr>
        <w:pStyle w:val="12"/>
        <w:widowControl/>
        <w:numPr>
          <w:ilvl w:val="0"/>
          <w:numId w:val="2"/>
        </w:numPr>
        <w:autoSpaceDE/>
        <w:autoSpaceDN/>
        <w:adjustRightInd/>
        <w:ind w:right="357"/>
        <w:rPr>
          <w:rFonts w:ascii="Tahoma" w:hAnsi="Tahoma" w:cs="Tahoma"/>
          <w:bCs/>
        </w:rPr>
      </w:pPr>
      <w:r>
        <w:rPr>
          <w:rFonts w:ascii="Tahoma" w:hAnsi="Tahoma" w:cs="Tahoma"/>
          <w:bCs/>
        </w:rPr>
        <w:t>Skrzynka tankowania z sygnalizacją dźwiękową i świetlną</w:t>
      </w:r>
    </w:p>
    <w:p w14:paraId="02A2CADA">
      <w:pPr>
        <w:pStyle w:val="12"/>
        <w:widowControl/>
        <w:numPr>
          <w:ilvl w:val="0"/>
          <w:numId w:val="2"/>
        </w:numPr>
        <w:autoSpaceDE/>
        <w:autoSpaceDN/>
        <w:adjustRightInd/>
        <w:ind w:right="357"/>
        <w:rPr>
          <w:rFonts w:ascii="Tahoma" w:hAnsi="Tahoma" w:cs="Tahoma"/>
          <w:bCs/>
        </w:rPr>
      </w:pPr>
      <w:r>
        <w:rPr>
          <w:rFonts w:ascii="Tahoma" w:hAnsi="Tahoma" w:cs="Tahoma"/>
          <w:bCs/>
        </w:rPr>
        <w:t>Instalacja uziemiająca</w:t>
      </w:r>
    </w:p>
    <w:p w14:paraId="508B6569">
      <w:pPr>
        <w:shd w:val="clear" w:color="auto" w:fill="FFFFFF"/>
        <w:spacing w:line="168" w:lineRule="exact"/>
        <w:ind w:left="303" w:hanging="303"/>
      </w:pPr>
    </w:p>
    <w:p w14:paraId="7FDAF77F">
      <w:pPr>
        <w:shd w:val="clear" w:color="auto" w:fill="FFFFFF"/>
        <w:rPr>
          <w:b/>
          <w:sz w:val="18"/>
          <w:szCs w:val="18"/>
        </w:rPr>
      </w:pPr>
      <w:r>
        <w:rPr>
          <w:b/>
          <w:sz w:val="18"/>
          <w:szCs w:val="18"/>
        </w:rPr>
        <w:t xml:space="preserve">Agregat prądotwórczy wyprodukowany na terenie UE powinien spełniać wymagania ISO8528 oraz wyprodukowany zgodnie ze standardami ISO9001, posiada znak CE. </w:t>
      </w:r>
    </w:p>
    <w:p w14:paraId="0E55CB36">
      <w:pPr>
        <w:shd w:val="clear" w:color="auto" w:fill="FFFFFF"/>
        <w:rPr>
          <w:rFonts w:ascii="Arial Narrow" w:hAnsi="Arial Narrow"/>
          <w:color w:val="000000"/>
          <w:spacing w:val="-2"/>
          <w:sz w:val="16"/>
          <w:szCs w:val="16"/>
        </w:rPr>
      </w:pPr>
    </w:p>
    <w:p w14:paraId="71C6E2C1">
      <w:pPr>
        <w:shd w:val="clear" w:color="auto" w:fill="FFFFFF"/>
        <w:rPr>
          <w:rFonts w:ascii="Arial Narrow" w:hAnsi="Arial Narrow"/>
          <w:b/>
          <w:bCs/>
          <w:color w:val="000000"/>
          <w:spacing w:val="-2"/>
          <w:sz w:val="18"/>
          <w:szCs w:val="18"/>
        </w:rPr>
      </w:pPr>
      <w:r>
        <w:rPr>
          <w:rFonts w:ascii="Arial Narrow" w:hAnsi="Arial Narrow"/>
          <w:b/>
          <w:bCs/>
          <w:color w:val="000000"/>
          <w:spacing w:val="-2"/>
          <w:sz w:val="18"/>
          <w:szCs w:val="18"/>
        </w:rPr>
        <w:t>Producent kontenera dla zespołu prądotwórczego musi posiadać Świadectwo Uznania dla własnego zakładu produkcyjnego, wydane przez Polski Rejestr Statków lub inną uznaną jednostkę certyfikującą, w zakresie budowy i remontów kontenerów z doświadczeniem nie krótszym niż 3 lata.</w:t>
      </w:r>
    </w:p>
    <w:p w14:paraId="75EE1770">
      <w:pPr>
        <w:shd w:val="clear" w:color="auto" w:fill="FFFFFF"/>
        <w:spacing w:before="11" w:line="168" w:lineRule="exact"/>
        <w:rPr>
          <w:b/>
          <w:sz w:val="22"/>
          <w:szCs w:val="22"/>
        </w:rPr>
      </w:pPr>
    </w:p>
    <w:p w14:paraId="15912E75">
      <w:pPr>
        <w:shd w:val="clear" w:color="auto" w:fill="FFFFFF"/>
        <w:rPr>
          <w:b/>
          <w:sz w:val="16"/>
          <w:szCs w:val="16"/>
        </w:rPr>
      </w:pPr>
    </w:p>
    <w:p w14:paraId="7DB0084E">
      <w:pPr>
        <w:shd w:val="clear" w:color="auto" w:fill="FFFFFF"/>
        <w:rPr>
          <w:b/>
          <w:sz w:val="16"/>
          <w:szCs w:val="16"/>
        </w:rPr>
        <w:sectPr>
          <w:headerReference r:id="rId3" w:type="default"/>
          <w:footerReference r:id="rId4" w:type="default"/>
          <w:type w:val="continuous"/>
          <w:pgSz w:w="11899" w:h="16838"/>
          <w:pgMar w:top="642" w:right="274" w:bottom="274" w:left="816" w:header="142" w:footer="0" w:gutter="0"/>
          <w:cols w:space="60" w:num="1"/>
          <w:docGrid w:linePitch="360" w:charSpace="0"/>
        </w:sectPr>
      </w:pPr>
    </w:p>
    <w:p w14:paraId="2D97C44D">
      <w:pPr>
        <w:shd w:val="clear" w:color="auto" w:fill="FFFFFF"/>
        <w:rPr>
          <w:sz w:val="16"/>
          <w:szCs w:val="16"/>
        </w:rPr>
      </w:pPr>
    </w:p>
    <w:p w14:paraId="6E640459">
      <w:pPr>
        <w:shd w:val="clear" w:color="auto" w:fill="FFFFFF"/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 xml:space="preserve"> </w:t>
      </w:r>
      <w:r>
        <w:drawing>
          <wp:inline distT="0" distB="0" distL="0" distR="0">
            <wp:extent cx="2837180" cy="1898650"/>
            <wp:effectExtent l="0" t="0" r="1270" b="6350"/>
            <wp:docPr id="1452343013" name="Obraz 1" descr="Obraz zawierający niebo, pojemnik, na wolnym powietrzu, pojemnik transportowy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2343013" name="Obraz 1" descr="Obraz zawierający niebo, pojemnik, na wolnym powietrzu, pojemnik transportowy&#10;&#10;Zawartość wygenerowana przez AI może być niepoprawna.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62026" cy="1914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type w:val="continuous"/>
      <w:pgSz w:w="11899" w:h="16838"/>
      <w:pgMar w:top="642" w:right="274" w:bottom="274" w:left="816" w:header="142" w:footer="0" w:gutter="0"/>
      <w:cols w:space="60" w:num="3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  <w:font w:name="SimHei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libri">
    <w:panose1 w:val="020F0502020204030204"/>
    <w:charset w:val="EE"/>
    <w:family w:val="swiss"/>
    <w:pitch w:val="default"/>
    <w:sig w:usb0="E00002FF" w:usb1="4000ACFF" w:usb2="00000001" w:usb3="00000000" w:csb0="2000019F" w:csb1="00000000"/>
  </w:font>
  <w:font w:name="Arial">
    <w:panose1 w:val="020B0604020202020204"/>
    <w:charset w:val="EE"/>
    <w:family w:val="swiss"/>
    <w:pitch w:val="default"/>
    <w:sig w:usb0="E0002AFF" w:usb1="C0007843" w:usb2="00000009" w:usb3="00000000" w:csb0="400001FF" w:csb1="FFFF0000"/>
  </w:font>
  <w:font w:name="Tahoma">
    <w:panose1 w:val="020B0604030504040204"/>
    <w:charset w:val="EE"/>
    <w:family w:val="swiss"/>
    <w:pitch w:val="default"/>
    <w:sig w:usb0="E1002EFF" w:usb1="C000605B" w:usb2="00000029" w:usb3="00000000" w:csb0="200101FF" w:csb1="2028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ourier New">
    <w:panose1 w:val="02070309020205020404"/>
    <w:charset w:val="EE"/>
    <w:family w:val="modern"/>
    <w:pitch w:val="default"/>
    <w:sig w:usb0="E0002AFF" w:usb1="C0007843" w:usb2="00000009" w:usb3="00000000" w:csb0="400001FF" w:csb1="FFFF0000"/>
  </w:font>
  <w:font w:name="Arial Narrow">
    <w:panose1 w:val="020B0506020202030204"/>
    <w:charset w:val="EE"/>
    <w:family w:val="swiss"/>
    <w:pitch w:val="default"/>
    <w:sig w:usb0="00000287" w:usb1="00000000" w:usb2="00000000" w:usb3="00000000" w:csb0="2000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745ACA9">
    <w:pPr>
      <w:pStyle w:val="7"/>
      <w:jc w:val="center"/>
      <w:rPr>
        <w:rFonts w:cs="Arial"/>
        <w:b/>
        <w:sz w:val="8"/>
        <w:szCs w:val="8"/>
      </w:rP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ECAC606">
    <w:pPr>
      <w:pStyle w:val="7"/>
      <w:rPr>
        <w:sz w:val="8"/>
        <w:szCs w:val="8"/>
      </w:rPr>
    </w:pPr>
    <w:r>
      <w:rPr>
        <w:rFonts w:cs="Arial"/>
        <w:b/>
        <w:sz w:val="28"/>
        <w:szCs w:val="28"/>
      </w:rPr>
      <w:t xml:space="preserve">         </w:t>
    </w:r>
    <w:r>
      <w:rPr>
        <w:rFonts w:cs="Arial"/>
        <w:b/>
        <w:sz w:val="28"/>
        <w:szCs w:val="28"/>
      </w:rP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695F37B8"/>
    <w:multiLevelType w:val="multilevel"/>
    <w:tmpl w:val="695F37B8"/>
    <w:lvl w:ilvl="0" w:tentative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>
    <w:nsid w:val="75237EEC"/>
    <w:multiLevelType w:val="singleLevel"/>
    <w:tmpl w:val="75237EEC"/>
    <w:lvl w:ilvl="0" w:tentative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SystemFonts/>
  <w:bordersDoNotSurroundHeader w:val="1"/>
  <w:bordersDoNotSurroundFooter w:val="1"/>
  <w:documentProtection w:enforcement="0"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 w:val="1"/>
  <w:drawingGridHorizontalOrigin w:val="1800"/>
  <w:drawingGridVerticalOrigin w:val="1440"/>
  <w:doNotShadeFormData w:val="1"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33435"/>
    <w:rsid w:val="00012FF2"/>
    <w:rsid w:val="00014508"/>
    <w:rsid w:val="000322A1"/>
    <w:rsid w:val="000543C5"/>
    <w:rsid w:val="0007082D"/>
    <w:rsid w:val="00081500"/>
    <w:rsid w:val="00086765"/>
    <w:rsid w:val="000936B3"/>
    <w:rsid w:val="000C1411"/>
    <w:rsid w:val="000D1EA8"/>
    <w:rsid w:val="000D2EEF"/>
    <w:rsid w:val="000D46DB"/>
    <w:rsid w:val="001065D7"/>
    <w:rsid w:val="001129B4"/>
    <w:rsid w:val="00116D01"/>
    <w:rsid w:val="00141717"/>
    <w:rsid w:val="00143D38"/>
    <w:rsid w:val="00174F96"/>
    <w:rsid w:val="00183D5C"/>
    <w:rsid w:val="00193788"/>
    <w:rsid w:val="001B456D"/>
    <w:rsid w:val="001C46B3"/>
    <w:rsid w:val="001E17C7"/>
    <w:rsid w:val="001E2905"/>
    <w:rsid w:val="001F0593"/>
    <w:rsid w:val="001F7703"/>
    <w:rsid w:val="002015B8"/>
    <w:rsid w:val="00205913"/>
    <w:rsid w:val="00233901"/>
    <w:rsid w:val="0023535C"/>
    <w:rsid w:val="0024790F"/>
    <w:rsid w:val="002576DE"/>
    <w:rsid w:val="00262AD4"/>
    <w:rsid w:val="002667E1"/>
    <w:rsid w:val="0027536D"/>
    <w:rsid w:val="00275373"/>
    <w:rsid w:val="002763AE"/>
    <w:rsid w:val="002859BA"/>
    <w:rsid w:val="002B4E0F"/>
    <w:rsid w:val="002C4926"/>
    <w:rsid w:val="002E43A7"/>
    <w:rsid w:val="002F3E78"/>
    <w:rsid w:val="0031253E"/>
    <w:rsid w:val="00325D7E"/>
    <w:rsid w:val="00334D25"/>
    <w:rsid w:val="003538B6"/>
    <w:rsid w:val="003638F1"/>
    <w:rsid w:val="00373C30"/>
    <w:rsid w:val="00390E16"/>
    <w:rsid w:val="003A4965"/>
    <w:rsid w:val="003B01F1"/>
    <w:rsid w:val="003C22CD"/>
    <w:rsid w:val="003D1CB7"/>
    <w:rsid w:val="003D7508"/>
    <w:rsid w:val="00400819"/>
    <w:rsid w:val="00430AA4"/>
    <w:rsid w:val="00434F85"/>
    <w:rsid w:val="00435A11"/>
    <w:rsid w:val="00463FC6"/>
    <w:rsid w:val="004646C2"/>
    <w:rsid w:val="004A0D43"/>
    <w:rsid w:val="004C07E4"/>
    <w:rsid w:val="004E5FBC"/>
    <w:rsid w:val="004F5A78"/>
    <w:rsid w:val="00506EF9"/>
    <w:rsid w:val="005113A2"/>
    <w:rsid w:val="00565BD5"/>
    <w:rsid w:val="00576733"/>
    <w:rsid w:val="00583747"/>
    <w:rsid w:val="005A4952"/>
    <w:rsid w:val="005C358F"/>
    <w:rsid w:val="005E64BD"/>
    <w:rsid w:val="00601CC7"/>
    <w:rsid w:val="00610B18"/>
    <w:rsid w:val="006419EE"/>
    <w:rsid w:val="00656847"/>
    <w:rsid w:val="00671F2D"/>
    <w:rsid w:val="00672221"/>
    <w:rsid w:val="006814BE"/>
    <w:rsid w:val="00692E6D"/>
    <w:rsid w:val="006A3B36"/>
    <w:rsid w:val="006C1D78"/>
    <w:rsid w:val="006C365A"/>
    <w:rsid w:val="006D17DE"/>
    <w:rsid w:val="006D1A44"/>
    <w:rsid w:val="006D1EC3"/>
    <w:rsid w:val="006E4A73"/>
    <w:rsid w:val="006E5FC2"/>
    <w:rsid w:val="006F0818"/>
    <w:rsid w:val="00700537"/>
    <w:rsid w:val="00733435"/>
    <w:rsid w:val="00754929"/>
    <w:rsid w:val="007601EA"/>
    <w:rsid w:val="00785294"/>
    <w:rsid w:val="00786CD8"/>
    <w:rsid w:val="007A55B1"/>
    <w:rsid w:val="007C269E"/>
    <w:rsid w:val="007D5E00"/>
    <w:rsid w:val="007E0B60"/>
    <w:rsid w:val="007E78A8"/>
    <w:rsid w:val="007E7F79"/>
    <w:rsid w:val="00811B77"/>
    <w:rsid w:val="00824371"/>
    <w:rsid w:val="008379DB"/>
    <w:rsid w:val="00863B74"/>
    <w:rsid w:val="008648E3"/>
    <w:rsid w:val="0088576A"/>
    <w:rsid w:val="008B44BC"/>
    <w:rsid w:val="008C2AFD"/>
    <w:rsid w:val="008C2F79"/>
    <w:rsid w:val="008D1CAF"/>
    <w:rsid w:val="008D77AA"/>
    <w:rsid w:val="008D7A6E"/>
    <w:rsid w:val="008E40B0"/>
    <w:rsid w:val="008F600F"/>
    <w:rsid w:val="009007F8"/>
    <w:rsid w:val="00925484"/>
    <w:rsid w:val="009B2CD8"/>
    <w:rsid w:val="009C77AD"/>
    <w:rsid w:val="009D4CCC"/>
    <w:rsid w:val="00A049F6"/>
    <w:rsid w:val="00A05CE9"/>
    <w:rsid w:val="00A1172E"/>
    <w:rsid w:val="00A2512B"/>
    <w:rsid w:val="00A251FA"/>
    <w:rsid w:val="00A25D13"/>
    <w:rsid w:val="00A543EC"/>
    <w:rsid w:val="00A569C5"/>
    <w:rsid w:val="00A648D2"/>
    <w:rsid w:val="00A66B4A"/>
    <w:rsid w:val="00A9375B"/>
    <w:rsid w:val="00AC5EC3"/>
    <w:rsid w:val="00AC7D37"/>
    <w:rsid w:val="00AD714D"/>
    <w:rsid w:val="00AF0234"/>
    <w:rsid w:val="00AF4DC9"/>
    <w:rsid w:val="00AF57AC"/>
    <w:rsid w:val="00B12B7B"/>
    <w:rsid w:val="00B16AA6"/>
    <w:rsid w:val="00B20F6B"/>
    <w:rsid w:val="00B27D7F"/>
    <w:rsid w:val="00B50930"/>
    <w:rsid w:val="00B92AD3"/>
    <w:rsid w:val="00BD7284"/>
    <w:rsid w:val="00BE17EE"/>
    <w:rsid w:val="00C00DFC"/>
    <w:rsid w:val="00C75CC8"/>
    <w:rsid w:val="00C768E1"/>
    <w:rsid w:val="00C83C6F"/>
    <w:rsid w:val="00C872C7"/>
    <w:rsid w:val="00CB1A14"/>
    <w:rsid w:val="00CC4925"/>
    <w:rsid w:val="00CD66D7"/>
    <w:rsid w:val="00D05503"/>
    <w:rsid w:val="00D53D17"/>
    <w:rsid w:val="00D62A76"/>
    <w:rsid w:val="00D67EE5"/>
    <w:rsid w:val="00D70CC2"/>
    <w:rsid w:val="00D74FBE"/>
    <w:rsid w:val="00D75297"/>
    <w:rsid w:val="00DA0770"/>
    <w:rsid w:val="00DB48BC"/>
    <w:rsid w:val="00DC49DE"/>
    <w:rsid w:val="00DE2993"/>
    <w:rsid w:val="00E0728E"/>
    <w:rsid w:val="00E14418"/>
    <w:rsid w:val="00E14A88"/>
    <w:rsid w:val="00E1632E"/>
    <w:rsid w:val="00E24416"/>
    <w:rsid w:val="00E51C86"/>
    <w:rsid w:val="00E61702"/>
    <w:rsid w:val="00E7651F"/>
    <w:rsid w:val="00E817AF"/>
    <w:rsid w:val="00E95645"/>
    <w:rsid w:val="00EA6F83"/>
    <w:rsid w:val="00EA775A"/>
    <w:rsid w:val="00EC0F2B"/>
    <w:rsid w:val="00EC2993"/>
    <w:rsid w:val="00EC3BED"/>
    <w:rsid w:val="00EC65EB"/>
    <w:rsid w:val="00ED08DF"/>
    <w:rsid w:val="00ED2666"/>
    <w:rsid w:val="00EF70E1"/>
    <w:rsid w:val="00F27C49"/>
    <w:rsid w:val="00F32393"/>
    <w:rsid w:val="00F4566B"/>
    <w:rsid w:val="00F76C5E"/>
    <w:rsid w:val="00FA61B1"/>
    <w:rsid w:val="00FE1206"/>
    <w:rsid w:val="00FE7478"/>
    <w:rsid w:val="00FF14A2"/>
    <w:rsid w:val="114863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pl-PL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Times New Roma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nhideWhenUsed="0" w:uiPriority="0" w:semiHidden="0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0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autoSpaceDE w:val="0"/>
      <w:autoSpaceDN w:val="0"/>
      <w:adjustRightInd w:val="0"/>
    </w:pPr>
    <w:rPr>
      <w:rFonts w:ascii="Arial" w:hAnsi="Arial" w:eastAsia="Times New Roman" w:cs="Arial"/>
      <w:lang w:val="pl-PL" w:eastAsia="pl-PL" w:bidi="ar-SA"/>
    </w:rPr>
  </w:style>
  <w:style w:type="paragraph" w:styleId="2">
    <w:name w:val="heading 6"/>
    <w:basedOn w:val="1"/>
    <w:next w:val="1"/>
    <w:link w:val="10"/>
    <w:qFormat/>
    <w:uiPriority w:val="0"/>
    <w:pPr>
      <w:keepNext/>
      <w:widowControl/>
      <w:autoSpaceDE/>
      <w:autoSpaceDN/>
      <w:adjustRightInd/>
      <w:outlineLvl w:val="5"/>
    </w:pPr>
    <w:rPr>
      <w:rFonts w:cs="Times New Roman"/>
      <w:b/>
      <w:sz w:val="16"/>
    </w:rPr>
  </w:style>
  <w:style w:type="character" w:default="1" w:styleId="3">
    <w:name w:val="Default Paragraph Font"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alloon Text"/>
    <w:basedOn w:val="1"/>
    <w:link w:val="11"/>
    <w:semiHidden/>
    <w:unhideWhenUsed/>
    <w:qFormat/>
    <w:uiPriority w:val="99"/>
    <w:rPr>
      <w:rFonts w:ascii="Tahoma" w:hAnsi="Tahoma" w:cs="Tahoma"/>
      <w:sz w:val="16"/>
      <w:szCs w:val="16"/>
    </w:rPr>
  </w:style>
  <w:style w:type="paragraph" w:styleId="6">
    <w:name w:val="footer"/>
    <w:basedOn w:val="1"/>
    <w:link w:val="13"/>
    <w:unhideWhenUsed/>
    <w:qFormat/>
    <w:uiPriority w:val="99"/>
    <w:pPr>
      <w:tabs>
        <w:tab w:val="center" w:pos="4536"/>
        <w:tab w:val="right" w:pos="9072"/>
      </w:tabs>
    </w:pPr>
  </w:style>
  <w:style w:type="paragraph" w:styleId="7">
    <w:name w:val="header"/>
    <w:basedOn w:val="1"/>
    <w:link w:val="9"/>
    <w:qFormat/>
    <w:uiPriority w:val="0"/>
    <w:pPr>
      <w:widowControl/>
      <w:tabs>
        <w:tab w:val="center" w:pos="4536"/>
        <w:tab w:val="right" w:pos="9072"/>
      </w:tabs>
      <w:autoSpaceDE/>
      <w:autoSpaceDN/>
      <w:adjustRightInd/>
    </w:pPr>
    <w:rPr>
      <w:rFonts w:cs="Times New Roman"/>
    </w:rPr>
  </w:style>
  <w:style w:type="table" w:styleId="8">
    <w:name w:val="Table Grid"/>
    <w:basedOn w:val="4"/>
    <w:qFormat/>
    <w:uiPriority w:val="59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customStyle="1" w:styleId="9">
    <w:name w:val="Nagłówek Znak"/>
    <w:basedOn w:val="3"/>
    <w:link w:val="7"/>
    <w:qFormat/>
    <w:uiPriority w:val="0"/>
    <w:rPr>
      <w:rFonts w:ascii="Arial" w:hAnsi="Arial" w:eastAsia="Times New Roman" w:cs="Times New Roman"/>
      <w:sz w:val="20"/>
      <w:szCs w:val="20"/>
    </w:rPr>
  </w:style>
  <w:style w:type="character" w:customStyle="1" w:styleId="10">
    <w:name w:val="Nagłówek 6 Znak"/>
    <w:basedOn w:val="3"/>
    <w:link w:val="2"/>
    <w:qFormat/>
    <w:uiPriority w:val="0"/>
    <w:rPr>
      <w:rFonts w:ascii="Arial" w:hAnsi="Arial" w:eastAsia="Times New Roman" w:cs="Times New Roman"/>
      <w:b/>
      <w:sz w:val="16"/>
      <w:szCs w:val="20"/>
    </w:rPr>
  </w:style>
  <w:style w:type="character" w:customStyle="1" w:styleId="11">
    <w:name w:val="Tekst dymka Znak"/>
    <w:basedOn w:val="3"/>
    <w:link w:val="5"/>
    <w:semiHidden/>
    <w:qFormat/>
    <w:uiPriority w:val="99"/>
    <w:rPr>
      <w:rFonts w:ascii="Tahoma" w:hAnsi="Tahoma" w:cs="Tahoma"/>
      <w:sz w:val="16"/>
      <w:szCs w:val="16"/>
    </w:rPr>
  </w:style>
  <w:style w:type="paragraph" w:styleId="12">
    <w:name w:val="List Paragraph"/>
    <w:basedOn w:val="1"/>
    <w:qFormat/>
    <w:uiPriority w:val="34"/>
    <w:pPr>
      <w:ind w:left="720"/>
      <w:contextualSpacing/>
    </w:pPr>
  </w:style>
  <w:style w:type="character" w:customStyle="1" w:styleId="13">
    <w:name w:val="Stopka Znak"/>
    <w:basedOn w:val="3"/>
    <w:link w:val="6"/>
    <w:qFormat/>
    <w:uiPriority w:val="99"/>
    <w:rPr>
      <w:rFonts w:ascii="Arial" w:hAnsi="Arial" w:cs="Arial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Motyw pakietu Office">
  <a:themeElements>
    <a:clrScheme name="Niebieski">
      <a:dk1>
        <a:sysClr val="windowText" lastClr="000000"/>
      </a:dk1>
      <a:lt1>
        <a:sysClr val="window" lastClr="FFFFFF"/>
      </a:lt1>
      <a:dk2>
        <a:srgbClr val="17406D"/>
      </a:dk2>
      <a:lt2>
        <a:srgbClr val="DBEFF9"/>
      </a:lt2>
      <a:accent1>
        <a:srgbClr val="0F6FC6"/>
      </a:accent1>
      <a:accent2>
        <a:srgbClr val="009DD9"/>
      </a:accent2>
      <a:accent3>
        <a:srgbClr val="0BD0D9"/>
      </a:accent3>
      <a:accent4>
        <a:srgbClr val="10CF9B"/>
      </a:accent4>
      <a:accent5>
        <a:srgbClr val="7CCA62"/>
      </a:accent5>
      <a:accent6>
        <a:srgbClr val="A5C249"/>
      </a:accent6>
      <a:hlink>
        <a:srgbClr val="F49100"/>
      </a:hlink>
      <a:folHlink>
        <a:srgbClr val="85DFD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3AE67CB-8A9A-47C0-93AA-2C74E4B38F5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431</Words>
  <Characters>2589</Characters>
  <Lines>21</Lines>
  <Paragraphs>6</Paragraphs>
  <TotalTime>0</TotalTime>
  <ScaleCrop>false</ScaleCrop>
  <LinksUpToDate>false</LinksUpToDate>
  <CharactersWithSpaces>3014</CharactersWithSpaces>
  <Application>WPS Office_12.2.0.23196_F1E327BC-269C-435d-A152-05C5408002CA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2026-01-16T10:51:00Z</dcterms:created>
  <dc:creator>Czesław Kubik</dc:creator>
  <cp:lastModifiedBy>admin</cp:lastModifiedBy>
  <cp:lastPrinted>2018-11-09T06:58:00Z</cp:lastPrinted>
  <dcterms:modified xsi:type="dcterms:W3CDTF">2026-03-02T17:11:08Z</dcterms:modified>
  <dc:title>Dok2</dc:title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1045-12.2.0.23196</vt:lpwstr>
  </property>
  <property fmtid="{D5CDD505-2E9C-101B-9397-08002B2CF9AE}" pid="3" name="ICV">
    <vt:lpwstr>EFB0F9E7BEED423498916847AF466D80_13</vt:lpwstr>
  </property>
</Properties>
</file>